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E" w:rsidRDefault="00E4020E" w:rsidP="00E4020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noProof/>
          <w:color w:val="FF0000"/>
          <w:kern w:val="36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1C40" wp14:editId="4E65960C">
                <wp:simplePos x="0" y="0"/>
                <wp:positionH relativeFrom="column">
                  <wp:posOffset>2276475</wp:posOffset>
                </wp:positionH>
                <wp:positionV relativeFrom="paragraph">
                  <wp:posOffset>556895</wp:posOffset>
                </wp:positionV>
                <wp:extent cx="3430270" cy="484505"/>
                <wp:effectExtent l="19050" t="19050" r="36830" b="29845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027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8" o:spid="_x0000_s1026" type="#_x0000_t94" style="position:absolute;margin-left:179.25pt;margin-top:43.85pt;width:270.1pt;height:38.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" adj="20075" fillcolor="#4f81bd" strokecolor="#385d8a" strokeweight="2pt"/>
            </w:pict>
          </mc:Fallback>
        </mc:AlternateConten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АДРЕС ЭЛЕКТРОННОЙ ПОЧТЫ ДЛЯ ОБРАТНОЙ СВЯЗИ</w:t>
      </w:r>
      <w:r w:rsidRPr="00F0419A"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  <w:t>С ПРЕПОДАВАТЕЛЕМ:</w:t>
      </w:r>
    </w:p>
    <w:p w:rsidR="00E4020E" w:rsidRDefault="00E4020E" w:rsidP="00E4020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hyperlink r:id="rId6" w:history="1"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Vergun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909@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yandex</w:t>
        </w:r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eastAsia="ru-RU"/>
          </w:rPr>
          <w:t>.</w:t>
        </w:r>
        <w:proofErr w:type="spellStart"/>
        <w:r w:rsidRPr="00A9496E">
          <w:rPr>
            <w:rStyle w:val="a5"/>
            <w:rFonts w:ascii="Palatino Linotype" w:eastAsia="Times New Roman" w:hAnsi="Palatino Linotype" w:cs="Times New Roman"/>
            <w:b/>
            <w:bCs/>
            <w:kern w:val="36"/>
            <w:sz w:val="28"/>
            <w:szCs w:val="28"/>
            <w:lang w:val="en-US" w:eastAsia="ru-RU"/>
          </w:rPr>
          <w:t>ru</w:t>
        </w:r>
        <w:proofErr w:type="spellEnd"/>
      </w:hyperlink>
    </w:p>
    <w:p w:rsidR="00E4020E" w:rsidRDefault="00E4020E" w:rsidP="00E4020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 w:rsidRPr="005E315E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Задание: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Изучить материал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. </w:t>
      </w:r>
    </w:p>
    <w:p w:rsidR="00E4020E" w:rsidRDefault="00E4020E" w:rsidP="00E4020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Ответить на вопрос: От чего зависит топливная экономичность автомобиля?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</w:p>
    <w:p w:rsidR="00E4020E" w:rsidRPr="001D1F44" w:rsidRDefault="00E4020E" w:rsidP="00E4020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Ответ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bookmarkStart w:id="0" w:name="_GoBack"/>
      <w:bookmarkEnd w:id="0"/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отправить преподавателю на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E</w:t>
      </w:r>
      <w:r w:rsidRPr="005C6373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-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val="en-US" w:eastAsia="ru-RU"/>
        </w:rPr>
        <w:t>MAIL</w:t>
      </w:r>
      <w:r w:rsidRPr="001D1F44"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В ТЕМЕ письма указать ФИО и ГРУППУ (Например: Иванов Иван Иванович 36 Т)</w:t>
      </w:r>
    </w:p>
    <w:p w:rsidR="0086656C" w:rsidRPr="0086656C" w:rsidRDefault="0086656C" w:rsidP="0086656C">
      <w:pPr>
        <w:shd w:val="clear" w:color="auto" w:fill="FFFFFF"/>
        <w:spacing w:after="150" w:line="24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r w:rsidRPr="0086656C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Топливная экономичность</w:t>
      </w:r>
    </w:p>
    <w:p w:rsidR="0086656C" w:rsidRPr="0086656C" w:rsidRDefault="0086656C" w:rsidP="0086656C">
      <w:pPr>
        <w:shd w:val="clear" w:color="auto" w:fill="FFFFFF"/>
        <w:spacing w:after="15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Из параметров, характеризующих мощностные показатели автомобиля, в центре внимания длительное время оставались максимальная скорость и время разгона. Ощутимый рост цен на топливо привел к тому, что особое внимание стали уделять расходу топлива. При разработке нового автомобиля одной из важнейших целей является получение малого расхода топлива.</w:t>
      </w:r>
    </w:p>
    <w:p w:rsidR="0086656C" w:rsidRPr="0086656C" w:rsidRDefault="0086656C" w:rsidP="0086656C">
      <w:pPr>
        <w:shd w:val="clear" w:color="auto" w:fill="FFFFFF"/>
        <w:spacing w:after="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D7E7939" wp14:editId="37FD6396">
            <wp:extent cx="5140960" cy="2854960"/>
            <wp:effectExtent l="0" t="0" r="2540" b="2540"/>
            <wp:docPr id="1" name="Рисунок 1" descr="Расход топлива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ход топлива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6C" w:rsidRPr="0086656C" w:rsidRDefault="0086656C" w:rsidP="0086656C">
      <w:pPr>
        <w:shd w:val="clear" w:color="auto" w:fill="FFFFFF"/>
        <w:spacing w:after="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Топливная экономичность</w:t>
      </w: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 — это совокупность свойств, определяющих расходы топлива при выполнении автомобилем транспортной работы в различных условиях эксплуатации.</w:t>
      </w:r>
    </w:p>
    <w:p w:rsidR="0086656C" w:rsidRPr="0086656C" w:rsidRDefault="0086656C" w:rsidP="0086656C">
      <w:pPr>
        <w:shd w:val="clear" w:color="auto" w:fill="FFFFFF"/>
        <w:spacing w:after="15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lastRenderedPageBreak/>
        <w:t xml:space="preserve">Путевой расход топлива (иногда его называют средним расходом) определяют экспериментально при испытаниях или эксплуатации автомобилей в определенных дорожных условиях. Обычно испытания совмещаются с </w:t>
      </w:r>
      <w:proofErr w:type="spellStart"/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пробеговыми</w:t>
      </w:r>
      <w:proofErr w:type="spellEnd"/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, при которых одновременно оценивают средние скорости движения и другие эксплуатационные свойства автомобилей.</w:t>
      </w:r>
    </w:p>
    <w:p w:rsidR="0086656C" w:rsidRPr="0086656C" w:rsidRDefault="0086656C" w:rsidP="0086656C">
      <w:pPr>
        <w:shd w:val="clear" w:color="auto" w:fill="FFFFFF"/>
        <w:spacing w:after="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Топливная экономичность непо</w:t>
      </w: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softHyphen/>
        <w:t>средственно зависит от конструкции автомобиля. Она определяется степенью совершенства рабочего процесса в </w:t>
      </w:r>
      <w:hyperlink r:id="rId9" w:tgtFrame="_blank" w:history="1">
        <w:r w:rsidRPr="0086656C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двигателе</w:t>
        </w:r>
      </w:hyperlink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, коэффициентом полезного действия и передаточными числами </w:t>
      </w:r>
      <w:hyperlink r:id="rId10" w:tgtFrame="_blank" w:history="1">
        <w:r w:rsidRPr="0086656C">
          <w:rPr>
            <w:rFonts w:ascii="inherit" w:eastAsia="Times New Roman" w:hAnsi="inherit" w:cs="Arial"/>
            <w:color w:val="1E73BE"/>
            <w:sz w:val="27"/>
            <w:szCs w:val="27"/>
            <w:u w:val="single"/>
            <w:bdr w:val="none" w:sz="0" w:space="0" w:color="auto" w:frame="1"/>
            <w:lang w:eastAsia="ru-RU"/>
          </w:rPr>
          <w:t>трансмиссии</w:t>
        </w:r>
      </w:hyperlink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, соотношением между снаряженной и полной массой автомобиля и автопоезда, сопротивлением движению.</w:t>
      </w:r>
    </w:p>
    <w:p w:rsidR="0086656C" w:rsidRPr="0086656C" w:rsidRDefault="0086656C" w:rsidP="0086656C">
      <w:pPr>
        <w:shd w:val="clear" w:color="auto" w:fill="FFFFFF"/>
        <w:spacing w:after="15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Топливная экономичность оценивается по путевому расходу топлива — расходу топлива (в литрах или килограммах) на 100 км пути, проходимого автомобилем.</w:t>
      </w:r>
    </w:p>
    <w:p w:rsidR="0086656C" w:rsidRPr="0086656C" w:rsidRDefault="0086656C" w:rsidP="0086656C">
      <w:pPr>
        <w:shd w:val="clear" w:color="auto" w:fill="FFFFFF"/>
        <w:spacing w:after="0" w:line="384" w:lineRule="atLeast"/>
        <w:ind w:left="75" w:right="75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noProof/>
          <w:color w:val="1E73BE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EEDFB7B" wp14:editId="0AD5A77B">
            <wp:extent cx="5710555" cy="4935855"/>
            <wp:effectExtent l="0" t="0" r="4445" b="0"/>
            <wp:docPr id="2" name="Рисунок 2" descr="Расход топли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ход топли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6C" w:rsidRPr="0086656C" w:rsidRDefault="0086656C" w:rsidP="0086656C">
      <w:pPr>
        <w:shd w:val="clear" w:color="auto" w:fill="FFFFFF"/>
        <w:spacing w:line="384" w:lineRule="atLeast"/>
        <w:ind w:left="150" w:right="75"/>
        <w:textAlignment w:val="baseline"/>
        <w:rPr>
          <w:rFonts w:ascii="inherit" w:eastAsia="Times New Roman" w:hAnsi="inherit" w:cs="Arial"/>
          <w:color w:val="3A3A3A"/>
          <w:sz w:val="24"/>
          <w:szCs w:val="24"/>
          <w:lang w:eastAsia="ru-RU"/>
        </w:rPr>
      </w:pPr>
      <w:r w:rsidRPr="0086656C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Рис. </w:t>
      </w:r>
      <w:proofErr w:type="spellStart"/>
      <w:r w:rsidRPr="0086656C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>Инфографика</w:t>
      </w:r>
      <w:proofErr w:type="spellEnd"/>
      <w:r w:rsidRPr="0086656C">
        <w:rPr>
          <w:rFonts w:ascii="inherit" w:eastAsia="Times New Roman" w:hAnsi="inherit" w:cs="Arial"/>
          <w:color w:val="3A3A3A"/>
          <w:sz w:val="24"/>
          <w:szCs w:val="24"/>
          <w:lang w:eastAsia="ru-RU"/>
        </w:rPr>
        <w:t xml:space="preserve"> «Расход топлива»</w:t>
      </w:r>
    </w:p>
    <w:p w:rsidR="0086656C" w:rsidRPr="0086656C" w:rsidRDefault="0086656C" w:rsidP="0086656C">
      <w:pPr>
        <w:shd w:val="clear" w:color="auto" w:fill="FFFFFF"/>
        <w:spacing w:after="210" w:line="312" w:lineRule="atLeast"/>
        <w:textAlignment w:val="baseline"/>
        <w:outlineLvl w:val="1"/>
        <w:rPr>
          <w:rFonts w:ascii="inherit" w:eastAsia="Times New Roman" w:hAnsi="inherit" w:cs="Arial"/>
          <w:color w:val="444444"/>
          <w:spacing w:val="-11"/>
          <w:sz w:val="58"/>
          <w:szCs w:val="58"/>
          <w:lang w:eastAsia="ru-RU"/>
        </w:rPr>
      </w:pPr>
      <w:r w:rsidRPr="0086656C">
        <w:rPr>
          <w:rFonts w:ascii="inherit" w:eastAsia="Times New Roman" w:hAnsi="inherit" w:cs="Arial"/>
          <w:color w:val="444444"/>
          <w:spacing w:val="-11"/>
          <w:sz w:val="58"/>
          <w:szCs w:val="58"/>
          <w:lang w:eastAsia="ru-RU"/>
        </w:rPr>
        <w:lastRenderedPageBreak/>
        <w:t>Для оценки топливной экономичности автомобилей используют следующие показатели:</w:t>
      </w:r>
    </w:p>
    <w:p w:rsidR="0086656C" w:rsidRPr="0086656C" w:rsidRDefault="0086656C" w:rsidP="0086656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средний расход топлива в типовых дорожных условиях</w:t>
      </w:r>
    </w:p>
    <w:p w:rsidR="0086656C" w:rsidRPr="0086656C" w:rsidRDefault="0086656C" w:rsidP="0086656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топливную характеристику установив</w:t>
      </w: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softHyphen/>
        <w:t>шегося движения</w:t>
      </w:r>
    </w:p>
    <w:p w:rsidR="0086656C" w:rsidRPr="0086656C" w:rsidRDefault="0086656C" w:rsidP="0086656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контрольный расход, топлива и топливную характеристику при движении по магистрально-холмистой дороге</w:t>
      </w:r>
    </w:p>
    <w:p w:rsidR="0086656C" w:rsidRPr="0086656C" w:rsidRDefault="0086656C" w:rsidP="0086656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86656C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Дополнительно для автомобилей, работающих с частыми остановками (городских и пригородных автобусов, специальных автомобилей), определяют топливную характеристику при циклическом движении</w:t>
      </w:r>
    </w:p>
    <w:p w:rsidR="00EE7703" w:rsidRDefault="00EE7703"/>
    <w:sectPr w:rsidR="00EE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D6E"/>
    <w:multiLevelType w:val="multilevel"/>
    <w:tmpl w:val="9D6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F"/>
    <w:rsid w:val="0086656C"/>
    <w:rsid w:val="00BE2DFF"/>
    <w:rsid w:val="00E4020E"/>
    <w:rsid w:val="00E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249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troistvo-avtomobilya.ru/wp-content/uploads/2012/01/raskhod-topliva.jp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gun909@yandex.ru" TargetMode="External"/><Relationship Id="rId11" Type="http://schemas.openxmlformats.org/officeDocument/2006/relationships/hyperlink" Target="http://ustroistvo-avtomobilya.ru/wp-content/uploads/2012/01/Rashod-topliv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troistvo-avtomobilya.ru/transmissiya/transmis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troistvo-avtomobilya.ru/dvigatel/mehanizmy-dviga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Company>machine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2020-04-08T06:57:00Z</dcterms:created>
  <dcterms:modified xsi:type="dcterms:W3CDTF">2020-04-08T07:01:00Z</dcterms:modified>
</cp:coreProperties>
</file>